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 w:val="0"/>
          <w:bCs/>
          <w:kern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bCs/>
          <w:kern w:val="0"/>
          <w:sz w:val="40"/>
          <w:szCs w:val="40"/>
          <w:lang w:val="en-US" w:eastAsia="zh-CN"/>
        </w:rPr>
        <w:t>广东省“跨境电商赋能产业发展”创新案例</w:t>
      </w:r>
      <w:r>
        <w:rPr>
          <w:rFonts w:hint="eastAsia" w:ascii="方正小标宋简体" w:eastAsia="方正小标宋简体"/>
          <w:b w:val="0"/>
          <w:bCs/>
          <w:kern w:val="0"/>
          <w:sz w:val="40"/>
          <w:szCs w:val="40"/>
        </w:rPr>
        <w:t>申报表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6"/>
          <w:szCs w:val="36"/>
          <w:lang w:eastAsia="zh-CN"/>
        </w:rPr>
        <w:t>（地市推荐）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</w:pPr>
      <w:bookmarkStart w:id="0" w:name="_GoBack"/>
      <w:bookmarkEnd w:id="0"/>
    </w:p>
    <w:tbl>
      <w:tblPr>
        <w:tblStyle w:val="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67"/>
        <w:gridCol w:w="339"/>
        <w:gridCol w:w="455"/>
        <w:gridCol w:w="925"/>
        <w:gridCol w:w="800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企业官网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社会统一代码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员工数量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采购产品的省内产业带企业数量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服务省内产业带企业数量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统计时间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为省内产业带企业带来跨境电商订单额（万元）</w:t>
            </w:r>
          </w:p>
        </w:tc>
        <w:tc>
          <w:tcPr>
            <w:tcW w:w="3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从省内产业带企业采购产品以跨境电商方式销售额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7月-2023年6月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7月-2024年6月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2年平均值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申报企业确认：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本企业确保上述填报信息属实。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申报企业（盖章）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年    月   日</w:t>
            </w:r>
          </w:p>
        </w:tc>
        <w:tc>
          <w:tcPr>
            <w:tcW w:w="43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商务主管部门初审及推荐意见：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 年    月    日</w:t>
            </w:r>
          </w:p>
        </w:tc>
      </w:tr>
    </w:tbl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4B19"/>
    <w:rsid w:val="7F5B4B19"/>
    <w:rsid w:val="9F7F0756"/>
    <w:rsid w:val="BBBF3432"/>
    <w:rsid w:val="DD7B8F2E"/>
    <w:rsid w:val="FFBDA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2024-07-17T15:02:00Z</dcterms:created>
  <dc:creator>张一清</dc:creator>
  <cp:lastModifiedBy>张一清</cp:lastModifiedBy>
  <dcterms:modified xsi:type="dcterms:W3CDTF">2024-07-17T15:08:28Z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