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广州市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海珠区星级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商务楼宇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评定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申报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政策文件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《广州市</w:t>
      </w:r>
      <w:r>
        <w:rPr>
          <w:rFonts w:hint="default" w:ascii="Times New Roman" w:hAnsi="Times New Roman" w:eastAsia="仿宋_GB2312" w:cs="Times New Roman"/>
          <w:sz w:val="32"/>
          <w:szCs w:val="20"/>
        </w:rPr>
        <w:t>海珠区商务楼宇与园区评星及奖励措施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》（海投促规字</w:t>
      </w:r>
      <w:r>
        <w:rPr>
          <w:rFonts w:hint="default" w:ascii="Times New Roman" w:hAnsi="Times New Roman" w:eastAsia="仿宋_GB2312" w:cs="Times New Roman"/>
          <w:sz w:val="32"/>
          <w:szCs w:val="20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20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1号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条件及申报资料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Hans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“海珠区星级商务楼宇”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申报基本条件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主体是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依法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登记注册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、依法纳税，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有固定办公地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独立法人企业。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2.《海珠区星级商务楼宇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表》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自评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分值不低于80分。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近两年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申报主体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无重大安全责任事故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无因消防违法行为或火灾隐患被行政处罚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无重大卫生防疫责任事故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无集体信访投诉或重大负面舆情事件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4.近三年申报主体无严重违法失信行为。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20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（二）“海珠区星级商务楼宇”申报其他条件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评定对象为海珠区行政区域内有明确产权归属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投入运营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商务写字楼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商务办公面积不少于3万平方米。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商事、税务登记在海珠区的入驻企业不少于5家。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单一业主的商务写字楼业主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，或业主授权的商务写字楼运营、管理服务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多业主商务写字楼的占2/3以上面积的业主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，或获得占4/5以上面积的业主授权的楼宇的运营、管理服务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企业，这些企业是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Hans"/>
        </w:rPr>
        <w:t>（三）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Hans"/>
        </w:rPr>
        <w:t>时间及程序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海珠区星级商务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楼宇评定采用现场提交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材料的方式报名，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时间为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  <w:t>2023年12月7日-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lang w:eastAsia="zh-Hans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lang w:eastAsia="zh-Hans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lang w:eastAsia="zh-Hans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lang w:eastAsia="zh-Hans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逾期未报送，视为主动放弃申报资格。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材料包括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纸质版和电子版材料，纸质版材料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Hans"/>
        </w:rPr>
        <w:t>一式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Hans"/>
        </w:rPr>
        <w:t>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（须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统一装订，并加盖公章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），电子版材料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发送至海珠区投资促进局工作邮箱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haizhutouzi@163.com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区投资促进局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区投资促进局委托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对申报主体提供的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材料（纸质版及电子版）进行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审核需补充完善的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，申报主体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个工作日内提交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盖章版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补充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或选择退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及补充申报资料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现场提交至广州市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海珠区投资促进局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地址：广州市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海珠区广州大道南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999号海珠区政府1楼113办公室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办理时间：工作日上午9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00~12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00，下午14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30~17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魏先生89088379，15013161076；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小姐89088379，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5975329228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 xml:space="preserve"> 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黑体" w:cs="Times New Roman"/>
          <w:sz w:val="32"/>
          <w:szCs w:val="32"/>
        </w:rPr>
        <w:t>材料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清单</w:t>
      </w:r>
    </w:p>
    <w:tbl>
      <w:tblPr>
        <w:tblStyle w:val="16"/>
        <w:tblW w:w="10050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4785"/>
        <w:gridCol w:w="4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78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政策要求</w:t>
            </w:r>
          </w:p>
        </w:tc>
        <w:tc>
          <w:tcPr>
            <w:tcW w:w="4476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申报资料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85" w:type="dxa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主体是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依法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登记注册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、依法纳税，在本区有固定办公地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独立法人企业</w:t>
            </w:r>
          </w:p>
        </w:tc>
        <w:tc>
          <w:tcPr>
            <w:tcW w:w="4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年广州市海珠区星级楼宇评定申报表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（详见附件1）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；202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年广州市海珠区星级楼宇评定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报主体书面承诺函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（详见附件2）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主体营业执照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《海珠区星级商务楼宇评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表》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自评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分值不低于80分</w:t>
            </w:r>
          </w:p>
        </w:tc>
        <w:tc>
          <w:tcPr>
            <w:tcW w:w="4476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海珠区星级商务楼宇评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（详见附件3）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785" w:type="dxa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近两年无重大安全责任事故，无因消防违法行为或火灾隐患被行政处罚，无重大卫生防疫责任事故，无集体信访、投诉或重大负面舆情事件</w:t>
            </w:r>
          </w:p>
        </w:tc>
        <w:tc>
          <w:tcPr>
            <w:tcW w:w="4476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楼宇安全、消防、防疫、信访、失信相关情况核查表（详见附件5）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85" w:type="dxa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评定对象为海珠区行政区域内有明确产权归属、已投入运营的商务写字楼</w:t>
            </w:r>
          </w:p>
        </w:tc>
        <w:tc>
          <w:tcPr>
            <w:tcW w:w="4476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若为单一楼宇业主，提供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产权证（或其他可证明产权的资料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）；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若为多业主楼宇，则至少需要2/3以上面积的业主产权证明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建设工程竣工验收备案资料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785" w:type="dxa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商务办公面积不少于3万平方米</w:t>
            </w:r>
          </w:p>
        </w:tc>
        <w:tc>
          <w:tcPr>
            <w:tcW w:w="4476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建设工程竣工验收备案资料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等可以证明写字楼商务办公面积的材料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785" w:type="dxa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商事、税务登记在海珠区的入驻企业不少于5家</w:t>
            </w:r>
          </w:p>
        </w:tc>
        <w:tc>
          <w:tcPr>
            <w:tcW w:w="4476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2021年及2022年所有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签订租赁合同的入驻企业名单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（2021年、2022年分别提供）（详见附件4）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785" w:type="dxa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单一业主的商务写字楼业主企业，或业主授权的商务写字楼运营、管理服务企业；多业主商务写字楼的占2/3以上面积的业主企业，或获得占4/5以上面积的业主授权的楼宇的运营、管理服务企业，这些企业是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  <w:tc>
          <w:tcPr>
            <w:tcW w:w="4476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业主授权委托书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业主有效证件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申报主体法定代表人身份证明文件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申报主体简介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7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7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年广州市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海珠区星级楼宇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评定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*申报主体须如实填写以下所有内容</w:t>
      </w:r>
    </w:p>
    <w:tbl>
      <w:tblPr>
        <w:tblStyle w:val="15"/>
        <w:tblW w:w="86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565"/>
        <w:gridCol w:w="1911"/>
        <w:gridCol w:w="2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申报主体基本信息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申报主体名称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申报主体性质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单一业主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业主申报；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单一业主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委托运营或服务公司申报；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多业主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占2/3以上面积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业主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多业主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占4/5以上面积的业主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委托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运营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服务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申报主体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联系邮箱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参评楼宇基本信息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参评楼宇名称</w:t>
            </w:r>
          </w:p>
        </w:tc>
        <w:tc>
          <w:tcPr>
            <w:tcW w:w="68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楼宇地址</w:t>
            </w:r>
          </w:p>
        </w:tc>
        <w:tc>
          <w:tcPr>
            <w:tcW w:w="68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总建筑面积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商业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面积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办公面积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总层数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层，（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地上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层；地下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标准层净高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平均月租金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（元/平方米）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平均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管理费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（元/平方米）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楼宇入驻企业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总数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楼内优质企业数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办公面积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出租率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入驻企业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注册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率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入驻企业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贡献率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申报主体名称（加盖公章）：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日期：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注：1. “办公面积”是指以《广州市建设工程规划验收合格证》中“建筑功能指标规划验收明细表”功能名称“办公”项下的建筑面积为准。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.“楼内优质企业数”是指楼宇入驻企业属于世界500强企业、中国企业500强、中国制造业企业500强、中国服务业企业500强、上市公司（新三板除外），或是领事机构、“中华老字号”企业、“独角兽”企业、“高精尖”企业以及注册资本在1亿元人民币（或外资企业注册资本1000万美元）以上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出租率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是指截至申报政策时，已出租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办公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建筑面积占总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办公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建筑面积比率；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none"/>
          <w:lang w:val="en-US" w:eastAsia="zh-CN"/>
        </w:rPr>
        <w:t>注册率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是指在海珠区注册、登记的企业、机构租赁面积占楼宇租赁总面积的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比率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贡献率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是指纳税关系在海珠区的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入驻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企业数占总入驻企业数的比率。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Style w:val="22"/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Style w:val="22"/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202</w:t>
      </w:r>
      <w:r>
        <w:rPr>
          <w:rStyle w:val="22"/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3</w:t>
      </w:r>
      <w:r>
        <w:rPr>
          <w:rStyle w:val="22"/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 w:bidi="ar-SA"/>
        </w:rPr>
        <w:t>年广州市海珠区星级楼宇评定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Style w:val="22"/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Style w:val="22"/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 w:bidi="ar-SA"/>
        </w:rPr>
        <w:t>申报主体书面承诺函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我司作为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参评楼宇名称）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年广州市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海珠区星级楼宇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评定的申报主体，符合申报主体及参评楼宇的基本要求，现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参加广州市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海珠区星级楼宇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评定，并承诺提交的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评定材料真实、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可靠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遵守评定工作的相关规定及要求。如有违反，我司将承担一切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责任，并无条件退出本次评定。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申报主体名称（加盖公章）：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cs="Times New Roman"/>
        </w:rPr>
        <w:sectPr>
          <w:footerReference r:id="rId5" w:type="default"/>
          <w:pgSz w:w="11906" w:h="16838"/>
          <w:pgMar w:top="1440" w:right="1800" w:bottom="1440" w:left="1800" w:header="851" w:footer="5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海珠区星级商务楼宇评定表</w:t>
      </w:r>
    </w:p>
    <w:tbl>
      <w:tblPr>
        <w:tblStyle w:val="15"/>
        <w:tblpPr w:leftFromText="180" w:rightFromText="180" w:vertAnchor="text" w:horzAnchor="page" w:tblpX="1002" w:tblpY="582"/>
        <w:tblOverlap w:val="never"/>
        <w:tblW w:w="105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048"/>
        <w:gridCol w:w="2427"/>
        <w:gridCol w:w="4108"/>
        <w:gridCol w:w="651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评定项目及各项满分分值</w:t>
            </w:r>
          </w:p>
        </w:tc>
        <w:tc>
          <w:tcPr>
            <w:tcW w:w="6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评定指标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分值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计分栏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0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0"/>
                <w:highlight w:val="none"/>
                <w:lang w:bidi="ar"/>
              </w:rPr>
              <w:t>一、楼宇招商（45分）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出租率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（10分）</w:t>
            </w:r>
          </w:p>
        </w:tc>
        <w:tc>
          <w:tcPr>
            <w:tcW w:w="6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90%以上，计10分；80%（含）-90%，计8分；70%（含）-80%，计6分；60%（含）-70%，计4分；50%（含）-60%，计2分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在地注册率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分，指在海珠区注册、登记的企业、机构租赁面积占楼宇租赁总面积的百分比）</w:t>
            </w:r>
          </w:p>
        </w:tc>
        <w:tc>
          <w:tcPr>
            <w:tcW w:w="6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80%以上，计15分；70%（含）-80%，计13分；60%（含）-70%，计11分；50%（含）-60%，计9分；40%（含）-50%，计7分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新增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eastAsia="zh-CN" w:bidi="ar"/>
              </w:rPr>
              <w:t>“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四上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eastAsia="zh-CN" w:bidi="ar"/>
              </w:rPr>
              <w:t>”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企业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（5分）</w:t>
            </w:r>
          </w:p>
        </w:tc>
        <w:tc>
          <w:tcPr>
            <w:tcW w:w="6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2家以上，计5分；1家，计3分或者存量5家以上计5分，3-5家计3分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 xml:space="preserve">客户状况 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（15 分）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 xml:space="preserve">世界 500 强企业、中国 500 强企业、中国民营500强企业、上市公司的旗下企业（包括分公司） 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 xml:space="preserve"> 2家以上或使用面积不少于 20%，计10分；1家或使用面积不少于 10%，计7分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独角兽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高精尖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、高新技术企业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2家及以上，计5分；1家，计3分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</w:tbl>
    <w:p>
      <w:pPr>
        <w:spacing w:line="55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15"/>
        <w:tblpPr w:leftFromText="180" w:rightFromText="180" w:vertAnchor="text" w:horzAnchor="page" w:tblpX="987" w:tblpY="432"/>
        <w:tblOverlap w:val="never"/>
        <w:tblW w:w="105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048"/>
        <w:gridCol w:w="6535"/>
        <w:gridCol w:w="651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0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0"/>
                <w:highlight w:val="none"/>
                <w:lang w:bidi="ar"/>
              </w:rPr>
              <w:t>二、社会经济贡献（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0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0"/>
                <w:highlight w:val="none"/>
                <w:lang w:bidi="ar"/>
              </w:rPr>
              <w:t>5 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营业收入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（10 分）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20亿元以上，计10分；15（含）-20亿元，计8分；10（含）-15亿元，计6分；5（含）-10亿元，计4分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服务业营业收入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（5分）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3亿元以上，计5分；2（含）-3亿元，计3分；1（含）-2亿元，计1分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7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eastAsia="zh-CN" w:bidi="ar"/>
              </w:rPr>
              <w:t>经济贡献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 xml:space="preserve">总额 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（10 分）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5000万元以上，计10分；4000万元（含）-5000万元，计8分；3000（含）-4000万元，计6分；2000（含）-3000万元，计4分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8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eastAsia="zh-CN" w:bidi="ar"/>
              </w:rPr>
              <w:t>经济贡献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强度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（5 分）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1500元及以上，计5分；1200（含）-1500元，计4分；1000（含）-1200元，计3分；800（含）-1000元，计2分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9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研发费用支出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（5分）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1000万以上，计5分；600（含）-1000万元，计3分；200（含）-600万元，计1分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知识产权登记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（5分）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5项以上的，计5分；3（含）-5项，计3分；1（含）-2项计1分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 xml:space="preserve">就业人数 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（5分，指在商务楼宇内就业的人数）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2000 人以上，计5分；1000（含）-2000人，计4分；500（含）-1000人，计3分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0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0"/>
                <w:highlight w:val="none"/>
                <w:lang w:bidi="ar"/>
              </w:rPr>
              <w:t>三、政企互动（10分）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12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政企互动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val="en-US" w:eastAsia="zh-CN" w:bidi="ar"/>
              </w:rPr>
              <w:t>10分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eastAsia="zh-CN" w:bidi="ar"/>
              </w:rPr>
              <w:t>）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定期向海珠区主管部门通报楼宇招商、运营情况，对海珠区招商工作或其他具有突出贡献的楼宇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</w:pP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eastAsia="zh-CN" w:bidi="ar"/>
              </w:rPr>
            </w:pP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积极打造信用楼宇，开展信用服务及诚信宣传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59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备注：以上满分为100分。得分≥80分的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eastAsia="zh-CN" w:bidi="ar"/>
              </w:rPr>
              <w:t>可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评为海珠区星级商务楼宇。</w:t>
            </w:r>
          </w:p>
        </w:tc>
      </w:tr>
    </w:tbl>
    <w:p>
      <w:pPr>
        <w:spacing w:line="55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pacing w:line="55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pacing w:line="55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widowControl w:val="0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widowControl w:val="0"/>
        <w:ind w:left="0" w:leftChars="0" w:firstLine="0" w:firstLineChars="0"/>
        <w:jc w:val="both"/>
        <w:rPr>
          <w:rStyle w:val="22"/>
          <w:rFonts w:hint="default" w:ascii="Times New Roman" w:hAnsi="Times New Roman" w:eastAsia="黑体" w:cs="Times New Roman"/>
          <w:color w:val="auto"/>
          <w:kern w:val="2"/>
          <w:sz w:val="32"/>
          <w:szCs w:val="20"/>
          <w:u w:val="none"/>
          <w:lang w:val="en-US" w:eastAsia="zh-CN" w:bidi="ar-SA"/>
        </w:rPr>
      </w:pPr>
      <w:r>
        <w:rPr>
          <w:rStyle w:val="22"/>
          <w:rFonts w:hint="default" w:ascii="Times New Roman" w:hAnsi="Times New Roman" w:eastAsia="黑体" w:cs="Times New Roman"/>
          <w:color w:val="auto"/>
          <w:kern w:val="2"/>
          <w:sz w:val="32"/>
          <w:szCs w:val="20"/>
          <w:u w:val="none"/>
          <w:lang w:val="en-US" w:eastAsia="zh-CN" w:bidi="ar-SA"/>
        </w:rPr>
        <w:t>附件4</w:t>
      </w:r>
    </w:p>
    <w:p>
      <w:pPr>
        <w:widowControl w:val="0"/>
        <w:ind w:left="0" w:leftChars="0" w:firstLine="0" w:firstLineChars="0"/>
        <w:jc w:val="both"/>
        <w:rPr>
          <w:rStyle w:val="22"/>
          <w:rFonts w:hint="default" w:ascii="Times New Roman" w:hAnsi="Times New Roman" w:eastAsia="仿宋_GB2312" w:cs="Times New Roman"/>
          <w:color w:val="auto"/>
          <w:kern w:val="2"/>
          <w:sz w:val="32"/>
          <w:szCs w:val="20"/>
          <w:u w:val="none"/>
          <w:lang w:val="en-US" w:eastAsia="zh-CN" w:bidi="ar-SA"/>
        </w:rPr>
      </w:pPr>
    </w:p>
    <w:p>
      <w:pPr>
        <w:widowControl w:val="0"/>
        <w:ind w:left="0" w:leftChars="0" w:firstLine="0" w:firstLineChars="0"/>
        <w:jc w:val="center"/>
        <w:rPr>
          <w:rStyle w:val="22"/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Style w:val="22"/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 w:bidi="ar-SA"/>
        </w:rPr>
        <w:t>2021年</w:t>
      </w:r>
      <w:r>
        <w:rPr>
          <w:rStyle w:val="22"/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           </w:t>
      </w:r>
      <w:r>
        <w:rPr>
          <w:rStyle w:val="22"/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 w:bidi="ar-SA"/>
        </w:rPr>
        <w:t>楼宇入驻企业名单</w:t>
      </w:r>
    </w:p>
    <w:tbl>
      <w:tblPr>
        <w:tblStyle w:val="15"/>
        <w:tblW w:w="15577" w:type="dxa"/>
        <w:tblInd w:w="-9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15"/>
        <w:gridCol w:w="1695"/>
        <w:gridCol w:w="735"/>
        <w:gridCol w:w="2715"/>
        <w:gridCol w:w="1635"/>
        <w:gridCol w:w="1515"/>
        <w:gridCol w:w="3195"/>
        <w:gridCol w:w="109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合同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租赁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面积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（㎡）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企业联系人及电话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是否世界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500强、中国500强、中国民营500强、上市公司旗下企业（包括分公司）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合同就业人数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知识产权登记数量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ind w:left="0" w:leftChars="0" w:firstLine="0" w:firstLineChars="0"/>
        <w:jc w:val="center"/>
        <w:rPr>
          <w:rStyle w:val="22"/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Style w:val="22"/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 w:bidi="ar-SA"/>
        </w:rPr>
        <w:t>2022年</w:t>
      </w:r>
      <w:r>
        <w:rPr>
          <w:rStyle w:val="22"/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           </w:t>
      </w:r>
      <w:r>
        <w:rPr>
          <w:rStyle w:val="22"/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 w:bidi="ar-SA"/>
        </w:rPr>
        <w:t>楼宇入驻企业名单</w:t>
      </w:r>
    </w:p>
    <w:tbl>
      <w:tblPr>
        <w:tblStyle w:val="15"/>
        <w:tblW w:w="15577" w:type="dxa"/>
        <w:tblInd w:w="-9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15"/>
        <w:gridCol w:w="1695"/>
        <w:gridCol w:w="735"/>
        <w:gridCol w:w="2715"/>
        <w:gridCol w:w="1635"/>
        <w:gridCol w:w="1515"/>
        <w:gridCol w:w="3195"/>
        <w:gridCol w:w="109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合同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租赁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面积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（㎡）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企业联系人及电话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是否世界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500强、中国500强、中国民营500强、上市公司旗下企业（包括分公司）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合同就业人数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知识产权登记数量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ind w:left="0" w:leftChars="0" w:firstLine="0" w:firstLineChars="0"/>
        <w:jc w:val="both"/>
        <w:rPr>
          <w:rStyle w:val="22"/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22"/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附件5</w:t>
      </w:r>
    </w:p>
    <w:p>
      <w:pPr>
        <w:widowControl w:val="0"/>
        <w:ind w:left="0" w:leftChars="0" w:firstLine="0" w:firstLineChars="0"/>
        <w:jc w:val="both"/>
        <w:rPr>
          <w:rStyle w:val="22"/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widowControl w:val="0"/>
        <w:ind w:left="0" w:leftChars="0" w:firstLine="0" w:firstLineChars="0"/>
        <w:jc w:val="center"/>
        <w:rPr>
          <w:rStyle w:val="22"/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22"/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Style w:val="22"/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u w:val="none"/>
          <w:lang w:val="en-US" w:eastAsia="zh-CN" w:bidi="ar-SA"/>
        </w:rPr>
        <w:t>楼宇安全、消防、防疫、信访、失信</w:t>
      </w:r>
    </w:p>
    <w:p>
      <w:pPr>
        <w:widowControl w:val="0"/>
        <w:ind w:left="0" w:leftChars="0" w:firstLine="0" w:firstLineChars="0"/>
        <w:jc w:val="center"/>
        <w:rPr>
          <w:rStyle w:val="22"/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22"/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u w:val="none"/>
          <w:lang w:val="en-US" w:eastAsia="zh-CN" w:bidi="ar-SA"/>
        </w:rPr>
        <w:t>相关情况核查表</w:t>
      </w:r>
    </w:p>
    <w:tbl>
      <w:tblPr>
        <w:tblStyle w:val="16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65"/>
        <w:gridCol w:w="1545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746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Style w:val="22"/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22"/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楼宇名称</w:t>
            </w:r>
          </w:p>
        </w:tc>
        <w:tc>
          <w:tcPr>
            <w:tcW w:w="6081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Style w:val="22"/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46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Style w:val="22"/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22"/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申报单位名称</w:t>
            </w:r>
          </w:p>
        </w:tc>
        <w:tc>
          <w:tcPr>
            <w:tcW w:w="6081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Style w:val="22"/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gridSpan w:val="3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Style w:val="22"/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22"/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4536" w:type="dxa"/>
          </w:tcPr>
          <w:p>
            <w:pPr>
              <w:widowControl w:val="0"/>
              <w:ind w:firstLine="640" w:firstLineChars="200"/>
              <w:jc w:val="both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681" w:type="dxa"/>
            <w:vMerge w:val="restart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Style w:val="22"/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事项</w:t>
            </w:r>
          </w:p>
        </w:tc>
        <w:tc>
          <w:tcPr>
            <w:tcW w:w="3610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近两年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无重大安全责任事故</w:t>
            </w:r>
          </w:p>
        </w:tc>
        <w:tc>
          <w:tcPr>
            <w:tcW w:w="4536" w:type="dxa"/>
            <w:vAlign w:val="top"/>
          </w:tcPr>
          <w:p>
            <w:pPr>
              <w:widowControl w:val="0"/>
              <w:ind w:left="0" w:leftChars="0" w:firstLine="0" w:firstLineChars="0"/>
              <w:jc w:val="both"/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Style w:val="22"/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有  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无 </w:t>
            </w:r>
            <w:r>
              <w:rPr>
                <w:rStyle w:val="22"/>
                <w:rFonts w:hint="eastAsia" w:ascii="仿宋_GB2312" w:hAnsi="仿宋_GB2312" w:eastAsia="宋体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需说明的情况</w:t>
            </w: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：</w:t>
            </w: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</w:t>
            </w:r>
          </w:p>
          <w:p>
            <w:pPr>
              <w:widowControl w:val="0"/>
              <w:ind w:left="0" w:leftChars="0" w:firstLine="0" w:firstLineChars="0"/>
              <w:jc w:val="both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             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（可附页）</w:t>
            </w: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  </w:t>
            </w: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81" w:type="dxa"/>
            <w:vMerge w:val="continue"/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610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近两年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无因消防违法行为或火灾隐患被行政处罚</w:t>
            </w:r>
          </w:p>
        </w:tc>
        <w:tc>
          <w:tcPr>
            <w:tcW w:w="4536" w:type="dxa"/>
            <w:vAlign w:val="top"/>
          </w:tcPr>
          <w:p>
            <w:pPr>
              <w:widowControl w:val="0"/>
              <w:ind w:left="0" w:leftChars="0" w:firstLine="0" w:firstLineChars="0"/>
              <w:jc w:val="both"/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Style w:val="22"/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有  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无 </w:t>
            </w:r>
            <w:r>
              <w:rPr>
                <w:rStyle w:val="22"/>
                <w:rFonts w:hint="eastAsia" w:ascii="仿宋_GB2312" w:hAnsi="仿宋_GB2312" w:eastAsia="宋体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需说明的情况</w:t>
            </w: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：</w:t>
            </w: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widowControl w:val="0"/>
              <w:ind w:left="0" w:leftChars="0" w:firstLine="0" w:firstLineChars="0"/>
              <w:jc w:val="both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             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81" w:type="dxa"/>
            <w:vMerge w:val="continue"/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610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近两年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无重大卫生防疫责任事故</w:t>
            </w:r>
          </w:p>
        </w:tc>
        <w:tc>
          <w:tcPr>
            <w:tcW w:w="4536" w:type="dxa"/>
            <w:vAlign w:val="top"/>
          </w:tcPr>
          <w:p>
            <w:pPr>
              <w:widowControl w:val="0"/>
              <w:ind w:left="0" w:leftChars="0" w:firstLine="0" w:firstLineChars="0"/>
              <w:jc w:val="both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Style w:val="22"/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有  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无 </w:t>
            </w:r>
            <w:r>
              <w:rPr>
                <w:rStyle w:val="22"/>
                <w:rFonts w:hint="eastAsia" w:ascii="仿宋_GB2312" w:hAnsi="仿宋_GB2312" w:eastAsia="宋体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需说明的情况</w:t>
            </w: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：</w:t>
            </w: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</w:t>
            </w:r>
          </w:p>
          <w:p>
            <w:pPr>
              <w:widowControl w:val="0"/>
              <w:ind w:left="0" w:leftChars="0" w:firstLine="0" w:firstLineChars="0"/>
              <w:jc w:val="both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             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（可附页）</w:t>
            </w: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681" w:type="dxa"/>
            <w:vMerge w:val="continue"/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610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近两年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无集体信访、投诉或重大负面舆情事件</w:t>
            </w:r>
          </w:p>
        </w:tc>
        <w:tc>
          <w:tcPr>
            <w:tcW w:w="4536" w:type="dxa"/>
            <w:vAlign w:val="top"/>
          </w:tcPr>
          <w:p>
            <w:pPr>
              <w:widowControl w:val="0"/>
              <w:ind w:left="0" w:leftChars="0" w:firstLine="0" w:firstLineChars="0"/>
              <w:jc w:val="both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Style w:val="22"/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有  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无 </w:t>
            </w:r>
            <w:r>
              <w:rPr>
                <w:rStyle w:val="22"/>
                <w:rFonts w:hint="eastAsia" w:ascii="仿宋_GB2312" w:hAnsi="仿宋_GB2312" w:eastAsia="宋体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需说明的情况</w:t>
            </w: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：</w:t>
            </w: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</w:t>
            </w:r>
          </w:p>
          <w:p>
            <w:pPr>
              <w:widowControl w:val="0"/>
              <w:ind w:left="0" w:leftChars="0" w:firstLine="0" w:firstLineChars="0"/>
              <w:jc w:val="both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             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（可附页）</w:t>
            </w: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681" w:type="dxa"/>
            <w:vMerge w:val="continue"/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610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近三年申报主体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无严重违法失信行为</w:t>
            </w:r>
          </w:p>
        </w:tc>
        <w:tc>
          <w:tcPr>
            <w:tcW w:w="4536" w:type="dxa"/>
            <w:vAlign w:val="top"/>
          </w:tcPr>
          <w:p>
            <w:pPr>
              <w:widowControl w:val="0"/>
              <w:ind w:left="0" w:leftChars="0" w:firstLine="0" w:firstLineChars="0"/>
              <w:jc w:val="both"/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Style w:val="22"/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有  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无 </w:t>
            </w:r>
            <w:r>
              <w:rPr>
                <w:rStyle w:val="22"/>
                <w:rFonts w:hint="eastAsia" w:ascii="仿宋_GB2312" w:hAnsi="仿宋_GB2312" w:eastAsia="宋体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需说明的情况</w:t>
            </w: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：</w:t>
            </w: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</w:t>
            </w:r>
          </w:p>
          <w:p>
            <w:pPr>
              <w:widowControl w:val="0"/>
              <w:ind w:left="0" w:leftChars="0" w:firstLine="0" w:firstLineChars="0"/>
              <w:jc w:val="both"/>
              <w:rPr>
                <w:rStyle w:val="22"/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             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（可附页）</w:t>
            </w:r>
            <w:r>
              <w:rPr>
                <w:rStyle w:val="22"/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827" w:type="dxa"/>
            <w:gridSpan w:val="4"/>
            <w:vAlign w:val="top"/>
          </w:tcPr>
          <w:p>
            <w:pPr>
              <w:widowControl w:val="0"/>
              <w:ind w:left="0" w:leftChars="0" w:firstLine="560" w:firstLineChars="20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我司承诺上述情况属实。如有违反，我司将自愿承担一切法律责任。</w:t>
            </w:r>
          </w:p>
          <w:p>
            <w:pPr>
              <w:widowControl w:val="0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           （公司名称）</w:t>
            </w:r>
          </w:p>
          <w:p>
            <w:pPr>
              <w:widowControl w:val="0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           （时间）      </w:t>
            </w:r>
          </w:p>
          <w:p>
            <w:pPr>
              <w:widowControl w:val="0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         （加盖企业公章）</w:t>
            </w:r>
          </w:p>
        </w:tc>
      </w:tr>
    </w:tbl>
    <w:p>
      <w:pPr>
        <w:widowControl w:val="0"/>
        <w:ind w:left="0" w:leftChars="0" w:firstLine="0" w:firstLineChars="0"/>
        <w:jc w:val="both"/>
        <w:rPr>
          <w:rStyle w:val="22"/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Calibri" w:hAnsi="Calibri" w:cs="Times New Roman" w:eastAsiaTheme="minorEastAsia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Calibri" w:hAnsi="Calibri" w:cs="Times New Roman" w:eastAsiaTheme="minorEastAsia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DB2F6"/>
    <w:multiLevelType w:val="singleLevel"/>
    <w:tmpl w:val="728DB2F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27"/>
    <w:rsid w:val="00085A76"/>
    <w:rsid w:val="00256EA4"/>
    <w:rsid w:val="002D005C"/>
    <w:rsid w:val="003474F3"/>
    <w:rsid w:val="00375AC5"/>
    <w:rsid w:val="00384429"/>
    <w:rsid w:val="00551827"/>
    <w:rsid w:val="00601D65"/>
    <w:rsid w:val="0069081E"/>
    <w:rsid w:val="00775C46"/>
    <w:rsid w:val="007B2174"/>
    <w:rsid w:val="007C1461"/>
    <w:rsid w:val="007C6BE6"/>
    <w:rsid w:val="007E5875"/>
    <w:rsid w:val="00906C56"/>
    <w:rsid w:val="00982CF6"/>
    <w:rsid w:val="009F78FF"/>
    <w:rsid w:val="00AB2CC8"/>
    <w:rsid w:val="00BB584A"/>
    <w:rsid w:val="00BC3E20"/>
    <w:rsid w:val="00C807EB"/>
    <w:rsid w:val="00D77E9E"/>
    <w:rsid w:val="00D83510"/>
    <w:rsid w:val="00E5785E"/>
    <w:rsid w:val="00E81693"/>
    <w:rsid w:val="00F74645"/>
    <w:rsid w:val="00FA3827"/>
    <w:rsid w:val="02D004B0"/>
    <w:rsid w:val="03582819"/>
    <w:rsid w:val="08E510A5"/>
    <w:rsid w:val="09857B0E"/>
    <w:rsid w:val="0D9B5632"/>
    <w:rsid w:val="0DB14A87"/>
    <w:rsid w:val="0E736D03"/>
    <w:rsid w:val="0E754874"/>
    <w:rsid w:val="0F7F123E"/>
    <w:rsid w:val="12C042DD"/>
    <w:rsid w:val="14422814"/>
    <w:rsid w:val="144A7C5D"/>
    <w:rsid w:val="150825D4"/>
    <w:rsid w:val="155834F0"/>
    <w:rsid w:val="16537485"/>
    <w:rsid w:val="18677003"/>
    <w:rsid w:val="195E07F6"/>
    <w:rsid w:val="1A2B56BE"/>
    <w:rsid w:val="1ACF32EF"/>
    <w:rsid w:val="1B064D6E"/>
    <w:rsid w:val="1CA210C0"/>
    <w:rsid w:val="1CB534D6"/>
    <w:rsid w:val="1CF55A42"/>
    <w:rsid w:val="1CF94F18"/>
    <w:rsid w:val="1D1C6CA8"/>
    <w:rsid w:val="1E191E17"/>
    <w:rsid w:val="20A119B3"/>
    <w:rsid w:val="20C60B56"/>
    <w:rsid w:val="211E2B44"/>
    <w:rsid w:val="21B07B00"/>
    <w:rsid w:val="22EB2732"/>
    <w:rsid w:val="231C0170"/>
    <w:rsid w:val="23DA2E60"/>
    <w:rsid w:val="24D80688"/>
    <w:rsid w:val="277A572F"/>
    <w:rsid w:val="291A3599"/>
    <w:rsid w:val="2A021A0E"/>
    <w:rsid w:val="2A990555"/>
    <w:rsid w:val="32D65BA9"/>
    <w:rsid w:val="32DE1F64"/>
    <w:rsid w:val="32F55942"/>
    <w:rsid w:val="33507C75"/>
    <w:rsid w:val="336A15DA"/>
    <w:rsid w:val="33905CC5"/>
    <w:rsid w:val="33E2565F"/>
    <w:rsid w:val="35395A7B"/>
    <w:rsid w:val="36360571"/>
    <w:rsid w:val="375F19CF"/>
    <w:rsid w:val="3A403B40"/>
    <w:rsid w:val="3A78248F"/>
    <w:rsid w:val="3BA078EE"/>
    <w:rsid w:val="3EE428F1"/>
    <w:rsid w:val="3F250F5A"/>
    <w:rsid w:val="3F4D0AB5"/>
    <w:rsid w:val="40AB556F"/>
    <w:rsid w:val="41785D83"/>
    <w:rsid w:val="41793E19"/>
    <w:rsid w:val="417F2FD2"/>
    <w:rsid w:val="42E62900"/>
    <w:rsid w:val="42F55972"/>
    <w:rsid w:val="435D4F2B"/>
    <w:rsid w:val="446B1E32"/>
    <w:rsid w:val="457110FB"/>
    <w:rsid w:val="462553FE"/>
    <w:rsid w:val="463164C5"/>
    <w:rsid w:val="48D545A8"/>
    <w:rsid w:val="490B3750"/>
    <w:rsid w:val="49897E79"/>
    <w:rsid w:val="4B30087B"/>
    <w:rsid w:val="4BFD58A5"/>
    <w:rsid w:val="4E5F5EFB"/>
    <w:rsid w:val="4EA33D01"/>
    <w:rsid w:val="4F137A07"/>
    <w:rsid w:val="4F6F60DB"/>
    <w:rsid w:val="511A6C54"/>
    <w:rsid w:val="516A1FD0"/>
    <w:rsid w:val="519C5D92"/>
    <w:rsid w:val="51D32D2D"/>
    <w:rsid w:val="522D04D3"/>
    <w:rsid w:val="53154898"/>
    <w:rsid w:val="53171931"/>
    <w:rsid w:val="535B0F00"/>
    <w:rsid w:val="540956C6"/>
    <w:rsid w:val="543C54A6"/>
    <w:rsid w:val="555147F3"/>
    <w:rsid w:val="56331A24"/>
    <w:rsid w:val="56E942D2"/>
    <w:rsid w:val="583A2178"/>
    <w:rsid w:val="5A215CD3"/>
    <w:rsid w:val="5A3123D0"/>
    <w:rsid w:val="5B1D6042"/>
    <w:rsid w:val="5D0979E1"/>
    <w:rsid w:val="5D543875"/>
    <w:rsid w:val="5D6904F5"/>
    <w:rsid w:val="5E4456EF"/>
    <w:rsid w:val="5EF8169C"/>
    <w:rsid w:val="60CD3B6B"/>
    <w:rsid w:val="617B40CD"/>
    <w:rsid w:val="62560023"/>
    <w:rsid w:val="63ED4C06"/>
    <w:rsid w:val="640D1644"/>
    <w:rsid w:val="644955CC"/>
    <w:rsid w:val="64556006"/>
    <w:rsid w:val="64B64A19"/>
    <w:rsid w:val="64DE248C"/>
    <w:rsid w:val="64F41B5D"/>
    <w:rsid w:val="65CA2387"/>
    <w:rsid w:val="66144D35"/>
    <w:rsid w:val="66873195"/>
    <w:rsid w:val="66CD3CD9"/>
    <w:rsid w:val="68283076"/>
    <w:rsid w:val="68C800DF"/>
    <w:rsid w:val="6B0B54CA"/>
    <w:rsid w:val="6B2A6791"/>
    <w:rsid w:val="6C227F96"/>
    <w:rsid w:val="6E790225"/>
    <w:rsid w:val="6F681775"/>
    <w:rsid w:val="70EB1FB0"/>
    <w:rsid w:val="716B1B2C"/>
    <w:rsid w:val="729A6BDC"/>
    <w:rsid w:val="72D34AF3"/>
    <w:rsid w:val="73F00142"/>
    <w:rsid w:val="75163B39"/>
    <w:rsid w:val="759236A4"/>
    <w:rsid w:val="763F06E3"/>
    <w:rsid w:val="76944028"/>
    <w:rsid w:val="76B436AE"/>
    <w:rsid w:val="77854169"/>
    <w:rsid w:val="7BE902C8"/>
    <w:rsid w:val="7C6043C6"/>
    <w:rsid w:val="7E2F341A"/>
    <w:rsid w:val="7E4E00FA"/>
    <w:rsid w:val="7E660F00"/>
    <w:rsid w:val="7F1F49F7"/>
    <w:rsid w:val="7FCE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 w:asciiTheme="minorAscii" w:hAnsiTheme="minorAscii" w:cstheme="minorBidi"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semiHidden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/>
      <w:bCs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7">
    <w:name w:val="Normal Indent"/>
    <w:basedOn w:val="1"/>
    <w:next w:val="8"/>
    <w:qFormat/>
    <w:uiPriority w:val="0"/>
    <w:pPr>
      <w:ind w:firstLine="420" w:firstLineChars="200"/>
    </w:pPr>
  </w:style>
  <w:style w:type="paragraph" w:customStyle="1" w:styleId="8">
    <w:name w:val="_Style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9">
    <w:name w:val="Body Text"/>
    <w:basedOn w:val="1"/>
    <w:next w:val="10"/>
    <w:qFormat/>
    <w:uiPriority w:val="0"/>
    <w:pPr>
      <w:suppressAutoHyphens/>
      <w:spacing w:line="580" w:lineRule="exact"/>
    </w:pPr>
    <w:rPr>
      <w:rFonts w:ascii="仿宋_GB2312" w:hAnsi="仿宋_GB2312" w:eastAsia="仿宋_GB2312"/>
      <w:kern w:val="1"/>
      <w:sz w:val="32"/>
      <w:lang w:eastAsia="ar-SA"/>
    </w:rPr>
  </w:style>
  <w:style w:type="paragraph" w:styleId="10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/>
      <w:bCs/>
      <w:sz w:val="24"/>
      <w:szCs w:val="32"/>
    </w:r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Subtitle"/>
    <w:basedOn w:val="1"/>
    <w:next w:val="1"/>
    <w:link w:val="25"/>
    <w:qFormat/>
    <w:uiPriority w:val="11"/>
    <w:pPr>
      <w:spacing w:line="570" w:lineRule="atLeast"/>
      <w:jc w:val="center"/>
      <w:outlineLvl w:val="1"/>
    </w:pPr>
    <w:rPr>
      <w:rFonts w:eastAsia="楷体" w:asciiTheme="majorHAnsi" w:hAnsiTheme="majorHAnsi" w:cstheme="majorBidi"/>
      <w:bCs/>
      <w:kern w:val="28"/>
      <w:szCs w:val="32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1"/>
    <w:next w:val="9"/>
    <w:semiHidden/>
    <w:unhideWhenUsed/>
    <w:qFormat/>
    <w:uiPriority w:val="99"/>
    <w:pPr>
      <w:jc w:val="left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semiHidden/>
    <w:unhideWhenUsed/>
    <w:qFormat/>
    <w:uiPriority w:val="99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21">
    <w:name w:val="Emphasis"/>
    <w:basedOn w:val="17"/>
    <w:qFormat/>
    <w:uiPriority w:val="20"/>
  </w:style>
  <w:style w:type="character" w:styleId="22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标题 1 Char"/>
    <w:link w:val="3"/>
    <w:qFormat/>
    <w:uiPriority w:val="9"/>
    <w:rPr>
      <w:rFonts w:eastAsia="方正小标宋简体" w:asciiTheme="minorAscii" w:hAnsiTheme="minorAscii"/>
      <w:bCs/>
      <w:kern w:val="44"/>
      <w:sz w:val="44"/>
      <w:szCs w:val="44"/>
    </w:rPr>
  </w:style>
  <w:style w:type="paragraph" w:customStyle="1" w:styleId="24">
    <w:name w:val="_Style 5"/>
    <w:basedOn w:val="1"/>
    <w:qFormat/>
    <w:uiPriority w:val="0"/>
    <w:pPr>
      <w:ind w:firstLine="200" w:firstLineChars="200"/>
    </w:pPr>
    <w:rPr>
      <w:rFonts w:eastAsia="宋体" w:cs="Times New Roman"/>
      <w:sz w:val="24"/>
      <w:szCs w:val="22"/>
    </w:rPr>
  </w:style>
  <w:style w:type="character" w:customStyle="1" w:styleId="25">
    <w:name w:val="副标题 Char"/>
    <w:basedOn w:val="17"/>
    <w:link w:val="12"/>
    <w:qFormat/>
    <w:uiPriority w:val="11"/>
    <w:rPr>
      <w:rFonts w:eastAsia="楷体" w:asciiTheme="majorHAnsi" w:hAnsiTheme="majorHAnsi" w:cstheme="majorBidi"/>
      <w:bCs/>
      <w:kern w:val="28"/>
      <w:sz w:val="32"/>
      <w:szCs w:val="32"/>
    </w:rPr>
  </w:style>
  <w:style w:type="character" w:customStyle="1" w:styleId="26">
    <w:name w:val="标题 2 Char"/>
    <w:basedOn w:val="17"/>
    <w:link w:val="4"/>
    <w:semiHidden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character" w:customStyle="1" w:styleId="28">
    <w:name w:val="fontstyle01"/>
    <w:basedOn w:val="1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2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jiathis_txt"/>
    <w:basedOn w:val="17"/>
    <w:qFormat/>
    <w:uiPriority w:val="0"/>
  </w:style>
  <w:style w:type="character" w:customStyle="1" w:styleId="32">
    <w:name w:val="hover31"/>
    <w:basedOn w:val="17"/>
    <w:qFormat/>
    <w:uiPriority w:val="0"/>
    <w:rPr>
      <w:color w:val="B70607"/>
    </w:rPr>
  </w:style>
  <w:style w:type="character" w:customStyle="1" w:styleId="33">
    <w:name w:val="hover33"/>
    <w:basedOn w:val="17"/>
    <w:qFormat/>
    <w:uiPriority w:val="0"/>
    <w:rPr>
      <w:color w:val="B70607"/>
    </w:rPr>
  </w:style>
  <w:style w:type="character" w:customStyle="1" w:styleId="34">
    <w:name w:val="hover"/>
    <w:basedOn w:val="17"/>
    <w:qFormat/>
    <w:uiPriority w:val="0"/>
    <w:rPr>
      <w:color w:val="B7060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392</Characters>
  <Lines>3</Lines>
  <Paragraphs>1</Paragraphs>
  <TotalTime>4</TotalTime>
  <ScaleCrop>false</ScaleCrop>
  <LinksUpToDate>false</LinksUpToDate>
  <CharactersWithSpaces>459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2020-03-30T01:21:00Z</dcterms:created>
  <dc:creator>袁伟</dc:creator>
  <cp:lastModifiedBy>袁伟</cp:lastModifiedBy>
  <cp:lastPrinted>2023-11-15T09:31:00Z</cp:lastPrinted>
  <dcterms:modified xsi:type="dcterms:W3CDTF">2023-12-07T07:06:51Z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29A69961AACE4FEEB8567325D7EDA63E</vt:lpwstr>
  </property>
</Properties>
</file>