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附件</w:t>
      </w:r>
      <w:r>
        <w:rPr>
          <w:rFonts w:hint="default" w:ascii="黑体" w:hAnsi="黑体" w:eastAsia="黑体" w:cs="黑体"/>
          <w:b w:val="0"/>
          <w:bCs w:val="0"/>
          <w:color w:val="auto"/>
          <w:sz w:val="32"/>
          <w:szCs w:val="32"/>
        </w:rPr>
        <w:t>4</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9"/>
        <w:rPr>
          <w:rFonts w:hint="eastAsia" w:ascii="黑体" w:hAnsi="黑体" w:eastAsia="黑体" w:cs="黑体"/>
          <w:b w:val="0"/>
          <w:bCs w:val="0"/>
          <w:color w:val="auto"/>
          <w:sz w:val="32"/>
          <w:szCs w:val="32"/>
        </w:rPr>
      </w:pP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 xml:space="preserve">中华人民共和国工业和信息化部 </w:t>
      </w: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国家发展改革委 财政部 国家税务总局</w:t>
      </w: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公告</w:t>
      </w:r>
      <w:bookmarkStart w:id="0" w:name="_GoBack"/>
      <w:bookmarkEnd w:id="0"/>
      <w:r>
        <w:rPr>
          <w:rFonts w:hint="eastAsia" w:ascii="方正小标宋简体" w:hAnsi="方正小标宋简体" w:eastAsia="方正小标宋简体" w:cs="方正小标宋简体"/>
          <w:color w:val="auto"/>
          <w:sz w:val="44"/>
          <w:szCs w:val="44"/>
        </w:rPr>
        <w:t>2021年第10号</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9"/>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9"/>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为贯彻落实《国务院关于印发新时期促进集成电路产业和软件产业高质量发展若干政策的通知》（国发〔2020〕8号）精神，根据《关于促进集成电路产业和软件产业高质量发展企业所得税的公告》（财政部  税务总局  国家发展改革委  工业和信息化部公告2020年第45号），工业和信息化部、国家发展改革委、财政部、税务总局制定了国家鼓励的软件企业条件，现公告如下：</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9"/>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一、国家鼓励的软件企业是指同时符合下列条件的企业：</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9"/>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一）在中国境内（不包括港、澳、台地区）依法设立，以软件产品开发及相关信息技术服务为主营业务并具有独立法人资格的企业；该企业的设立具有合理商业目的，且不以减少、免除或推迟缴纳税款为主要目的；</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9"/>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二）汇算清缴年度具有劳动合同关系或劳务派遣、聘用关系，其中具有本科及以上学历的月平均职工人数占企业月平均职工总人数的比例不低于40%，研究开发人员月平均数占企业月平均职工总数的比例不低于25%；</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9"/>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三）拥有核心关键技术，并以此为基础开展经营活动，汇算清缴年度研究开发费用总额占企业销售（营业）收入总额的比例不低于7%，企业在中国境内发生的研究开发费用金额占研究开发费用总额的比例不低于60%；</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9"/>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（四）汇算清</w:t>
      </w:r>
      <w:r>
        <w:rPr>
          <w:rFonts w:hint="eastAsia" w:ascii="仿宋_GB2312" w:hAnsi="仿宋_GB2312" w:eastAsia="仿宋_GB2312" w:cs="仿宋_GB2312"/>
          <w:color w:val="auto"/>
          <w:sz w:val="32"/>
          <w:szCs w:val="32"/>
          <w:highlight w:val="none"/>
        </w:rPr>
        <w:t>缴年度软件产品开发销售及相关信息技术服务（营业）收入占企业收入总额的比例不低于55%[嵌入式软件产品开发销售（营业）收入</w:t>
      </w:r>
      <w:r>
        <w:rPr>
          <w:rFonts w:hint="eastAsia" w:ascii="仿宋_GB2312" w:hAnsi="仿宋_GB2312" w:eastAsia="仿宋_GB2312" w:cs="仿宋_GB2312"/>
          <w:color w:val="auto"/>
          <w:sz w:val="32"/>
          <w:szCs w:val="32"/>
        </w:rPr>
        <w:t>占企业收入总额的比例不低于45%]，其中软件产品自主开发销售及相关信息技术服务（营业）收入占企业收入总额的比例不低于45%[嵌入式软件产品开发销售（营业）收入占企业收入总额的比例不低于40%]；</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9"/>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（五）主营业务或主要产品具有专利或计算机软件著作权等属于本企业的知识产权；</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9"/>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（六）具有与软件开发相适应的生产经营场所、软硬件设施等开发环境（如合法的开发工具等），建立符合软件工程要求的质量管理体系并持续有效运行；</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9"/>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（七）汇算清缴年度未发生重大安全事故、重大质量事故、知识产权侵权等行为，企业合法经营。</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9"/>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二、本公告第一条中所称研究开发费用政策口径，按照《财政部  国家税务总局  科技部关于完善研究开发费用税前加计扣除政策的通知》（财税〔2015〕119号）和《国家税务总局关于研发费用税前加计扣除归集范围有关问题的公告》（国家税务总局公告2017年第40号）等规定执行。</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9"/>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三、本公告自2020年1月1日起执行，由工业和信息化部会同国家发展改革委、财政部、税务总局负责解释。</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9"/>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outlineLvl w:val="9"/>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beforeAutospacing="0" w:afterAutospacing="0" w:line="600" w:lineRule="exact"/>
        <w:jc w:val="righ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工业和信息化部  </w:t>
      </w:r>
    </w:p>
    <w:p>
      <w:pPr>
        <w:keepNext w:val="0"/>
        <w:keepLines w:val="0"/>
        <w:pageBreakBefore w:val="0"/>
        <w:kinsoku/>
        <w:wordWrap/>
        <w:overflowPunct/>
        <w:topLinePunct w:val="0"/>
        <w:autoSpaceDE/>
        <w:autoSpaceDN/>
        <w:bidi w:val="0"/>
        <w:adjustRightInd/>
        <w:snapToGrid/>
        <w:spacing w:beforeAutospacing="0" w:afterAutospacing="0" w:line="600" w:lineRule="exact"/>
        <w:jc w:val="righ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国家发展改革委  </w:t>
      </w:r>
    </w:p>
    <w:p>
      <w:pPr>
        <w:keepNext w:val="0"/>
        <w:keepLines w:val="0"/>
        <w:pageBreakBefore w:val="0"/>
        <w:kinsoku/>
        <w:wordWrap/>
        <w:overflowPunct/>
        <w:topLinePunct w:val="0"/>
        <w:autoSpaceDE/>
        <w:autoSpaceDN/>
        <w:bidi w:val="0"/>
        <w:adjustRightInd/>
        <w:snapToGrid/>
        <w:spacing w:beforeAutospacing="0" w:afterAutospacing="0" w:line="600" w:lineRule="exact"/>
        <w:jc w:val="righ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财政部      </w:t>
      </w:r>
    </w:p>
    <w:p>
      <w:pPr>
        <w:keepNext w:val="0"/>
        <w:keepLines w:val="0"/>
        <w:pageBreakBefore w:val="0"/>
        <w:kinsoku/>
        <w:wordWrap/>
        <w:overflowPunct/>
        <w:topLinePunct w:val="0"/>
        <w:autoSpaceDE/>
        <w:autoSpaceDN/>
        <w:bidi w:val="0"/>
        <w:adjustRightInd/>
        <w:snapToGrid/>
        <w:spacing w:beforeAutospacing="0" w:afterAutospacing="0" w:line="600" w:lineRule="exact"/>
        <w:jc w:val="righ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国家税务总局   </w:t>
      </w:r>
    </w:p>
    <w:p>
      <w:pPr>
        <w:keepNext w:val="0"/>
        <w:keepLines w:val="0"/>
        <w:pageBreakBefore w:val="0"/>
        <w:kinsoku/>
        <w:wordWrap/>
        <w:overflowPunct/>
        <w:topLinePunct w:val="0"/>
        <w:autoSpaceDE/>
        <w:autoSpaceDN/>
        <w:bidi w:val="0"/>
        <w:adjustRightInd/>
        <w:snapToGrid/>
        <w:spacing w:beforeAutospacing="0" w:afterAutospacing="0" w:line="600" w:lineRule="exact"/>
        <w:jc w:val="righ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2021年4月23日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黑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0F5ED5"/>
    <w:rsid w:val="247818EC"/>
    <w:rsid w:val="2FFF06DC"/>
    <w:rsid w:val="6E1342CF"/>
    <w:rsid w:val="750E249D"/>
    <w:rsid w:val="7DF90F31"/>
    <w:rsid w:val="A9EF61A8"/>
    <w:rsid w:val="DDDDB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Office_10.1.0.7448_F1E327BC-269C-435d-A152-05C5408002CA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2021-04-30T17:21:00Z</dcterms:created>
  <dc:creator>liangyameng</dc:creator>
  <cp:lastModifiedBy>Annie</cp:lastModifiedBy>
  <dcterms:modified xsi:type="dcterms:W3CDTF">2023-04-03T16:21:08Z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2052-10.1.0.7448</vt:lpwstr>
  </property>
  <property fmtid="{D5CDD505-2E9C-101B-9397-08002B2CF9AE}" pid="3" name="ICV">
    <vt:lpwstr>4BF68867394547898C1D888F7A68DC9F</vt:lpwstr>
  </property>
</Properties>
</file>