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黑体" w:hAnsi="黑体" w:eastAsia="黑体" w:cs="黑体"/>
          <w:b w:val="0"/>
          <w:bCs/>
          <w:i w:val="0"/>
          <w:caps w:val="0"/>
          <w:color w:val="000000"/>
          <w:spacing w:val="0"/>
          <w:sz w:val="32"/>
          <w:szCs w:val="32"/>
        </w:rPr>
      </w:pPr>
      <w:r>
        <w:rPr>
          <w:rFonts w:hint="eastAsia" w:ascii="黑体" w:hAnsi="黑体" w:eastAsia="黑体" w:cs="黑体"/>
          <w:b w:val="0"/>
          <w:bCs/>
          <w:i w:val="0"/>
          <w:caps w:val="0"/>
          <w:color w:val="000000"/>
          <w:spacing w:val="0"/>
          <w:sz w:val="32"/>
          <w:szCs w:val="32"/>
        </w:rPr>
        <w:t>附件3</w:t>
      </w:r>
    </w:p>
    <w:p>
      <w:pPr>
        <w:keepNext w:val="0"/>
        <w:keepLines w:val="0"/>
        <w:pageBreakBefore w:val="0"/>
        <w:kinsoku/>
        <w:overflowPunct/>
        <w:topLinePunct w:val="0"/>
        <w:autoSpaceDE/>
        <w:autoSpaceDN/>
        <w:bidi w:val="0"/>
        <w:adjustRightInd/>
        <w:snapToGrid/>
        <w:spacing w:line="560" w:lineRule="exact"/>
        <w:textAlignment w:val="auto"/>
        <w:rPr>
          <w:rFonts w:hint="eastAsia"/>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b w:val="0"/>
          <w:bCs/>
          <w:i w:val="0"/>
          <w:caps w:val="0"/>
          <w:color w:val="000000"/>
          <w:spacing w:val="0"/>
          <w:sz w:val="44"/>
          <w:szCs w:val="44"/>
        </w:rPr>
      </w:pPr>
      <w:r>
        <w:rPr>
          <w:rFonts w:hint="eastAsia" w:ascii="方正小标宋简体" w:hAnsi="方正小标宋简体" w:eastAsia="方正小标宋简体" w:cs="方正小标宋简体"/>
          <w:b w:val="0"/>
          <w:bCs/>
          <w:i w:val="0"/>
          <w:caps w:val="0"/>
          <w:color w:val="000000"/>
          <w:spacing w:val="0"/>
          <w:sz w:val="44"/>
          <w:szCs w:val="44"/>
        </w:rPr>
        <w:t>中华人民共和国工业和信息化部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b w:val="0"/>
          <w:bCs/>
          <w:i w:val="0"/>
          <w:caps w:val="0"/>
          <w:color w:val="000000"/>
          <w:spacing w:val="0"/>
          <w:sz w:val="44"/>
          <w:szCs w:val="44"/>
        </w:rPr>
      </w:pPr>
      <w:r>
        <w:rPr>
          <w:rFonts w:hint="eastAsia" w:ascii="方正小标宋简体" w:hAnsi="方正小标宋简体" w:eastAsia="方正小标宋简体" w:cs="方正小标宋简体"/>
          <w:b w:val="0"/>
          <w:bCs/>
          <w:i w:val="0"/>
          <w:caps w:val="0"/>
          <w:color w:val="000000"/>
          <w:spacing w:val="0"/>
          <w:sz w:val="44"/>
          <w:szCs w:val="44"/>
        </w:rPr>
        <w:t>国家发展改革委 财政部 国家税务总局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b w:val="0"/>
          <w:bCs/>
          <w:i w:val="0"/>
          <w:sz w:val="44"/>
          <w:szCs w:val="44"/>
        </w:rPr>
      </w:pPr>
      <w:r>
        <w:rPr>
          <w:rFonts w:hint="eastAsia" w:ascii="方正小标宋简体" w:hAnsi="方正小标宋简体" w:eastAsia="方正小标宋简体" w:cs="方正小标宋简体"/>
          <w:b w:val="0"/>
          <w:bCs/>
          <w:i w:val="0"/>
          <w:caps w:val="0"/>
          <w:color w:val="000000"/>
          <w:spacing w:val="0"/>
          <w:sz w:val="44"/>
          <w:szCs w:val="44"/>
        </w:rPr>
        <w:t>公告2021年第9号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b w:val="0"/>
          <w:i w:val="0"/>
          <w:caps w:val="0"/>
          <w:color w:val="070707"/>
          <w:spacing w:val="0"/>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both"/>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70707"/>
          <w:spacing w:val="0"/>
          <w:sz w:val="32"/>
          <w:szCs w:val="32"/>
        </w:rPr>
        <w:t>根据《国务院关于印发新时期促进集成电路产业和软件产业高质量发展若干政策的通知》（国发〔2020〕8号，以下简称《若干政策》）及其配套税收政策有关要求，现将《若干政策》第二条所称国家鼓励的集成电路设计、装备、材料、封装、测试企业条件公告如下：</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sz w:val="32"/>
          <w:szCs w:val="32"/>
        </w:rPr>
      </w:pPr>
      <w:r>
        <w:rPr>
          <w:rFonts w:hint="default" w:ascii="仿宋_GB2312" w:hAnsi="仿宋_GB2312" w:eastAsia="仿宋_GB2312" w:cs="仿宋_GB2312"/>
          <w:b w:val="0"/>
          <w:i w:val="0"/>
          <w:caps w:val="0"/>
          <w:color w:val="070707"/>
          <w:spacing w:val="0"/>
          <w:sz w:val="32"/>
          <w:szCs w:val="32"/>
        </w:rPr>
        <w:t xml:space="preserve"> </w:t>
      </w:r>
      <w:r>
        <w:rPr>
          <w:rFonts w:hint="eastAsia" w:ascii="仿宋_GB2312" w:hAnsi="仿宋_GB2312" w:eastAsia="仿宋_GB2312" w:cs="仿宋_GB2312"/>
          <w:b w:val="0"/>
          <w:i w:val="0"/>
          <w:caps w:val="0"/>
          <w:color w:val="070707"/>
          <w:spacing w:val="0"/>
          <w:sz w:val="32"/>
          <w:szCs w:val="32"/>
        </w:rPr>
        <w:t>一、《若干政策》所称国家鼓励的集成电路设计企业，必须同时满足以下条件：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70707"/>
          <w:spacing w:val="0"/>
          <w:sz w:val="32"/>
          <w:szCs w:val="32"/>
        </w:rPr>
        <w:t>（一）在中国境内（不包括港、澳、台地区）依法设立，从事集成电路设计、电子设计自动化（EDA）工具开发或知识产权（IP）核设计并具有独立法人资格的企业；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70707"/>
          <w:spacing w:val="0"/>
          <w:sz w:val="32"/>
          <w:szCs w:val="32"/>
        </w:rPr>
        <w:t>（二）汇算清缴年度具有劳动合同关系或劳务派遣、聘用关系的月平均职工人数不少于20人，其中具有本科及以上学历月平均职工人数占企业月平均职工总人数的比例不低于50%，研究开发人员月平均数占企业月平均职工总数的比例不低于40%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70707"/>
          <w:spacing w:val="0"/>
          <w:sz w:val="32"/>
          <w:szCs w:val="32"/>
        </w:rPr>
        <w:t>（三）汇算清缴年度研究开发费用总额占企业销售（营业）收入（主营业务收入与其他业务收入之和，下同）总额的比例不低于6%；</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70707"/>
          <w:spacing w:val="0"/>
          <w:sz w:val="32"/>
          <w:szCs w:val="32"/>
        </w:rPr>
        <w:t>（四）汇算清缴年度集成电路设计（含EDA工具、IP和设计服务，下同）销售（营业）收入占企业收入总额的比例不低于60%，其中自主设计销售（营业）收入占企业收入总额的比例不低于50%，且企业收入总额不低于（含）1500万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70707"/>
          <w:spacing w:val="0"/>
          <w:sz w:val="32"/>
          <w:szCs w:val="32"/>
        </w:rPr>
        <w:t>（五）拥有核心关键技术和属于本企业的知识产权，企业拥有与集成电路产品设计相关的已授权发明专利、布图设计登记、计算机软件著作权合计不少于8个；</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70707"/>
          <w:spacing w:val="0"/>
          <w:sz w:val="32"/>
          <w:szCs w:val="32"/>
        </w:rPr>
        <w:t>（六）具有与集成电路设计相适应的软硬件设施等开发环境和经营场所，且必须使用正版的EDA等软硬件工具；</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70707"/>
          <w:spacing w:val="0"/>
          <w:sz w:val="32"/>
          <w:szCs w:val="32"/>
        </w:rPr>
        <w:t>（七）汇算清缴年度未发生严重失信行为，重大安全、重大质量事故或严重环境违法行为。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sz w:val="32"/>
          <w:szCs w:val="32"/>
        </w:rPr>
      </w:pPr>
      <w:r>
        <w:rPr>
          <w:rFonts w:hint="default" w:ascii="仿宋_GB2312" w:hAnsi="仿宋_GB2312" w:eastAsia="仿宋_GB2312" w:cs="仿宋_GB2312"/>
          <w:b w:val="0"/>
          <w:i w:val="0"/>
          <w:caps w:val="0"/>
          <w:color w:val="070707"/>
          <w:spacing w:val="0"/>
          <w:sz w:val="32"/>
          <w:szCs w:val="32"/>
        </w:rPr>
        <w:t xml:space="preserve"> </w:t>
      </w:r>
      <w:r>
        <w:rPr>
          <w:rFonts w:hint="eastAsia" w:ascii="仿宋_GB2312" w:hAnsi="仿宋_GB2312" w:eastAsia="仿宋_GB2312" w:cs="仿宋_GB2312"/>
          <w:b w:val="0"/>
          <w:i w:val="0"/>
          <w:caps w:val="0"/>
          <w:color w:val="070707"/>
          <w:spacing w:val="0"/>
          <w:sz w:val="32"/>
          <w:szCs w:val="32"/>
        </w:rPr>
        <w:t>二、《若干政策》所称国家鼓励的集成电路装备企业，必须同时满足以下条件：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70707"/>
          <w:spacing w:val="0"/>
          <w:sz w:val="32"/>
          <w:szCs w:val="32"/>
        </w:rPr>
        <w:t>（一）在中国境内（不包括港、澳、台地区）依法设立，从事集成电路专用装备或关键零部件研发、制造并具有独立法人资格的企业；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70707"/>
          <w:spacing w:val="0"/>
          <w:sz w:val="32"/>
          <w:szCs w:val="32"/>
        </w:rPr>
        <w:t>（二）汇算清缴年度具有劳动合同关系或劳务派遣、聘用关系且具有大学专科及以上学历月平均职工人数占企业当年月平均职工总人数的比例不低于40%，研究开发人员月平均数占企业当年月平均职工总数的比例不低于20%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70707"/>
          <w:spacing w:val="0"/>
          <w:sz w:val="32"/>
          <w:szCs w:val="32"/>
        </w:rPr>
        <w:t>（三）汇算清缴年度用于集成电路装备或关键零部件研究开发费用总额占企业销售（营业）收入总额的比例不低于5%；</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70707"/>
          <w:spacing w:val="0"/>
          <w:sz w:val="32"/>
          <w:szCs w:val="32"/>
        </w:rPr>
        <w:t>（四）汇算清缴年度集成电路装备或关键零部件销售收入占企业销售（营业）收入总额的比例不低于30%，且企业销售（营业）收入总额不低于（含）1500万元；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70707"/>
          <w:spacing w:val="0"/>
          <w:sz w:val="32"/>
          <w:szCs w:val="32"/>
        </w:rPr>
        <w:t>（五）拥有核心关键技术和属于本企业的知识产权，企业拥有与集成电路装备或关键零部件研发、制造相关的已授权发明专利数量不少于5个；</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70707"/>
          <w:spacing w:val="0"/>
          <w:sz w:val="32"/>
          <w:szCs w:val="32"/>
        </w:rPr>
        <w:t>（六）具有与集成电路装备或关键零部件生产相适应的经营场所、软硬件设施等基本条件；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70707"/>
          <w:spacing w:val="0"/>
          <w:sz w:val="32"/>
          <w:szCs w:val="32"/>
        </w:rPr>
        <w:t>（七）汇算清缴年度未发生严重失信行为，重大安全、重大质量事故或严重环境违法行为。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sz w:val="32"/>
          <w:szCs w:val="32"/>
        </w:rPr>
      </w:pPr>
      <w:r>
        <w:rPr>
          <w:rFonts w:hint="default" w:ascii="仿宋_GB2312" w:hAnsi="仿宋_GB2312" w:eastAsia="仿宋_GB2312" w:cs="仿宋_GB2312"/>
          <w:b w:val="0"/>
          <w:i w:val="0"/>
          <w:caps w:val="0"/>
          <w:color w:val="070707"/>
          <w:spacing w:val="0"/>
          <w:sz w:val="32"/>
          <w:szCs w:val="32"/>
        </w:rPr>
        <w:t xml:space="preserve"> </w:t>
      </w:r>
      <w:r>
        <w:rPr>
          <w:rFonts w:hint="eastAsia" w:ascii="仿宋_GB2312" w:hAnsi="仿宋_GB2312" w:eastAsia="仿宋_GB2312" w:cs="仿宋_GB2312"/>
          <w:b w:val="0"/>
          <w:i w:val="0"/>
          <w:caps w:val="0"/>
          <w:color w:val="070707"/>
          <w:spacing w:val="0"/>
          <w:sz w:val="32"/>
          <w:szCs w:val="32"/>
        </w:rPr>
        <w:t>三、《若干政策》所称国家鼓励的集成电路材料企业，必须同时满足以下条件：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70707"/>
          <w:spacing w:val="0"/>
          <w:sz w:val="32"/>
          <w:szCs w:val="32"/>
        </w:rPr>
        <w:t>（一）在中国境内（不包括港、澳、台地区）依法设立，从事集成电路专用材料研发、生产并具有独立法人资格的企业；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70707"/>
          <w:spacing w:val="0"/>
          <w:sz w:val="32"/>
          <w:szCs w:val="32"/>
        </w:rPr>
        <w:t>（二）汇算清缴年度具有劳动合同关系或劳务派遣、聘用关系且具有大学专科及以上学历月平均职工人数占企业当年月平均职工总人数的比例不低于40%，研究开发人员月平均数占企业当年月平均职工总数的比例不低于15%；</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70707"/>
          <w:spacing w:val="0"/>
          <w:sz w:val="32"/>
          <w:szCs w:val="32"/>
        </w:rPr>
        <w:t>（三）汇算清缴年度用于集成电路材料研究开发费用总额占企业销售（营业）收入总额的比例不低于5%；</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70707"/>
          <w:spacing w:val="0"/>
          <w:sz w:val="32"/>
          <w:szCs w:val="32"/>
        </w:rPr>
        <w:t>（四）汇算清缴年度集成电路材料销售收入占企业销售（营业）收入总额的比例不低于30%，且企业销售（营业）收入总额不低于（含）1000万元；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70707"/>
          <w:spacing w:val="0"/>
          <w:sz w:val="32"/>
          <w:szCs w:val="32"/>
        </w:rPr>
        <w:t>（五）拥有核心关键技术和属于本企业的知识产权，且企业拥有与集成电路材料研发、生产相关的已授权发明专利数量不少于5个；</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70707"/>
          <w:spacing w:val="0"/>
          <w:sz w:val="32"/>
          <w:szCs w:val="32"/>
        </w:rPr>
        <w:t>（六）具有与集成电路材料生产相适应的经营场所、软硬件设施等基本条件；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70707"/>
          <w:spacing w:val="0"/>
          <w:sz w:val="32"/>
          <w:szCs w:val="32"/>
        </w:rPr>
        <w:t>（七）汇算清缴年度未发生严重失信行为，重大安全、重大质量事故或严重环境违法行为。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sz w:val="32"/>
          <w:szCs w:val="32"/>
        </w:rPr>
      </w:pPr>
      <w:r>
        <w:rPr>
          <w:rFonts w:hint="default" w:ascii="仿宋_GB2312" w:hAnsi="仿宋_GB2312" w:eastAsia="仿宋_GB2312" w:cs="仿宋_GB2312"/>
          <w:b w:val="0"/>
          <w:i w:val="0"/>
          <w:caps w:val="0"/>
          <w:color w:val="070707"/>
          <w:spacing w:val="0"/>
          <w:sz w:val="32"/>
          <w:szCs w:val="32"/>
        </w:rPr>
        <w:t xml:space="preserve"> </w:t>
      </w:r>
      <w:r>
        <w:rPr>
          <w:rFonts w:hint="eastAsia" w:ascii="仿宋_GB2312" w:hAnsi="仿宋_GB2312" w:eastAsia="仿宋_GB2312" w:cs="仿宋_GB2312"/>
          <w:b w:val="0"/>
          <w:i w:val="0"/>
          <w:caps w:val="0"/>
          <w:color w:val="070707"/>
          <w:spacing w:val="0"/>
          <w:sz w:val="32"/>
          <w:szCs w:val="32"/>
        </w:rPr>
        <w:t>四、《若干政策》所称国家鼓励的集成电路封装、测试企业，必须同时满足以下条件：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70707"/>
          <w:spacing w:val="0"/>
          <w:sz w:val="32"/>
          <w:szCs w:val="32"/>
        </w:rPr>
        <w:t>（一）在中国境内（不包括港、澳、台地区）依法设立，从事集成电路封装、测试并具有独立法人资格的企业；</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70707"/>
          <w:spacing w:val="0"/>
          <w:sz w:val="32"/>
          <w:szCs w:val="32"/>
        </w:rPr>
        <w:t>（二）汇算清缴年度具有劳动合同关系或劳务派遣、聘用关系且具有大学专科以上学历月平均职工人数占企业当年月平均职工总人数的比例不低于40%，研究开发人员月平均数占企业当年月平均职工总数的比例不低于15%；</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70707"/>
          <w:spacing w:val="0"/>
          <w:sz w:val="32"/>
          <w:szCs w:val="32"/>
        </w:rPr>
        <w:t>（三）汇算清缴年度研究开发费用总额占企业销售（营业）收入总额的比例不低于3%；</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70707"/>
          <w:spacing w:val="0"/>
          <w:sz w:val="32"/>
          <w:szCs w:val="32"/>
        </w:rPr>
        <w:t>（四）汇算清缴年度集成电路封装、测试销售（营收）收入占企业收入总额的比例不低于60%，且企业收入总额不低于（含）2000万元；</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70707"/>
          <w:spacing w:val="0"/>
          <w:sz w:val="32"/>
          <w:szCs w:val="32"/>
        </w:rPr>
        <w:t>（五）拥有核心关键技术和属于本企业的知识产权，且企业拥有与集成电路封装、测试相关的已授权发明专利、计算机软件著作权合计不少于5个；</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70707"/>
          <w:spacing w:val="0"/>
          <w:sz w:val="32"/>
          <w:szCs w:val="32"/>
        </w:rPr>
        <w:t>（六）具有与集成电路芯片封装、测试相适应的经营场所、软硬件设施等基本条件；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70707"/>
          <w:spacing w:val="0"/>
          <w:sz w:val="32"/>
          <w:szCs w:val="32"/>
        </w:rPr>
        <w:t>（七）汇算清缴年度未发生严重失信行为，重大安全、重大质量事故或严重环境违法行为。</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sz w:val="32"/>
          <w:szCs w:val="32"/>
        </w:rPr>
      </w:pPr>
      <w:r>
        <w:rPr>
          <w:rFonts w:hint="default" w:ascii="仿宋_GB2312" w:hAnsi="仿宋_GB2312" w:eastAsia="仿宋_GB2312" w:cs="仿宋_GB2312"/>
          <w:b w:val="0"/>
          <w:i w:val="0"/>
          <w:caps w:val="0"/>
          <w:color w:val="070707"/>
          <w:spacing w:val="0"/>
          <w:sz w:val="32"/>
          <w:szCs w:val="32"/>
        </w:rPr>
        <w:t xml:space="preserve"> </w:t>
      </w:r>
      <w:r>
        <w:rPr>
          <w:rFonts w:hint="eastAsia" w:ascii="仿宋_GB2312" w:hAnsi="仿宋_GB2312" w:eastAsia="仿宋_GB2312" w:cs="仿宋_GB2312"/>
          <w:b w:val="0"/>
          <w:i w:val="0"/>
          <w:caps w:val="0"/>
          <w:color w:val="070707"/>
          <w:spacing w:val="0"/>
          <w:sz w:val="32"/>
          <w:szCs w:val="32"/>
        </w:rPr>
        <w:t>五、本公告企业条件中所称研究开发费用政策口径，按照《财政部 国家税务总局 科技部关于完善研究开发费用税前加计扣除政策的通知》（财税〔2015〕119号）和《国家税务总局关于研发费用税前加计扣除归集范围有关问题的公告》（国家税务总局公告2017年第40号）等规定执行。</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sz w:val="32"/>
          <w:szCs w:val="32"/>
        </w:rPr>
      </w:pPr>
      <w:r>
        <w:rPr>
          <w:rFonts w:hint="default" w:ascii="仿宋_GB2312" w:hAnsi="仿宋_GB2312" w:eastAsia="仿宋_GB2312" w:cs="仿宋_GB2312"/>
          <w:b w:val="0"/>
          <w:i w:val="0"/>
          <w:caps w:val="0"/>
          <w:color w:val="070707"/>
          <w:spacing w:val="0"/>
          <w:sz w:val="32"/>
          <w:szCs w:val="32"/>
        </w:rPr>
        <w:t xml:space="preserve"> </w:t>
      </w:r>
      <w:r>
        <w:rPr>
          <w:rFonts w:hint="eastAsia" w:ascii="仿宋_GB2312" w:hAnsi="仿宋_GB2312" w:eastAsia="仿宋_GB2312" w:cs="仿宋_GB2312"/>
          <w:b w:val="0"/>
          <w:i w:val="0"/>
          <w:caps w:val="0"/>
          <w:color w:val="070707"/>
          <w:spacing w:val="0"/>
          <w:sz w:val="32"/>
          <w:szCs w:val="32"/>
        </w:rPr>
        <w:t>六、符合条件的集成电路设计、装备、材料、封装、测试企业，按照《国家税务总局关于发布修订后的&lt;企业所得税优惠政策事项办理办法&gt;的公告》（国家税务总局公告2018年第23号）规定的“自行判别、申报享受、相关资料留存备查”的办理方式享受税收优惠，主要留存备查资料见附件。享受优惠的企业在完成年度汇算清缴后，按要求将主要留存备查资料提交税务机关，由税务机关按照财税〔2016〕49号第十条规定转请省级工业和信息化主管部门进行核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sz w:val="32"/>
          <w:szCs w:val="32"/>
        </w:rPr>
      </w:pPr>
      <w:r>
        <w:rPr>
          <w:rFonts w:hint="default" w:ascii="仿宋_GB2312" w:hAnsi="仿宋_GB2312" w:eastAsia="仿宋_GB2312" w:cs="仿宋_GB2312"/>
          <w:b w:val="0"/>
          <w:i w:val="0"/>
          <w:caps w:val="0"/>
          <w:color w:val="070707"/>
          <w:spacing w:val="0"/>
          <w:sz w:val="32"/>
          <w:szCs w:val="32"/>
        </w:rPr>
        <w:t xml:space="preserve"> </w:t>
      </w:r>
      <w:r>
        <w:rPr>
          <w:rFonts w:hint="eastAsia" w:ascii="仿宋_GB2312" w:hAnsi="仿宋_GB2312" w:eastAsia="仿宋_GB2312" w:cs="仿宋_GB2312"/>
          <w:b w:val="0"/>
          <w:i w:val="0"/>
          <w:caps w:val="0"/>
          <w:color w:val="070707"/>
          <w:spacing w:val="0"/>
          <w:sz w:val="32"/>
          <w:szCs w:val="32"/>
        </w:rPr>
        <w:t>七、本公告自2020年1月1日起实施，由工业和信息化部会同国家发展改革委、财政部、税务总局负责解释。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left"/>
        <w:textAlignment w:val="auto"/>
        <w:rPr>
          <w:rFonts w:hint="eastAsia" w:ascii="仿宋_GB2312" w:hAnsi="仿宋_GB2312" w:eastAsia="仿宋_GB2312" w:cs="仿宋_GB2312"/>
          <w:i w:val="0"/>
          <w:sz w:val="32"/>
          <w:szCs w:val="32"/>
        </w:rPr>
      </w:pPr>
      <w:r>
        <w:rPr>
          <w:rFonts w:hint="default" w:ascii="仿宋_GB2312" w:hAnsi="仿宋_GB2312" w:eastAsia="仿宋_GB2312" w:cs="仿宋_GB2312"/>
          <w:b w:val="0"/>
          <w:i w:val="0"/>
          <w:caps w:val="0"/>
          <w:color w:val="070707"/>
          <w:spacing w:val="0"/>
          <w:sz w:val="32"/>
          <w:szCs w:val="32"/>
        </w:rPr>
        <w:t xml:space="preserve"> </w:t>
      </w:r>
      <w:bookmarkStart w:id="0" w:name="_GoBack"/>
      <w:bookmarkEnd w:id="0"/>
      <w:r>
        <w:rPr>
          <w:rFonts w:hint="eastAsia" w:ascii="仿宋_GB2312" w:hAnsi="仿宋_GB2312" w:eastAsia="仿宋_GB2312" w:cs="仿宋_GB2312"/>
          <w:b w:val="0"/>
          <w:i w:val="0"/>
          <w:caps w:val="0"/>
          <w:color w:val="070707"/>
          <w:spacing w:val="0"/>
          <w:sz w:val="32"/>
          <w:szCs w:val="32"/>
        </w:rPr>
        <w:t>附件：</w:t>
      </w:r>
      <w:r>
        <w:rPr>
          <w:rFonts w:hint="eastAsia" w:ascii="仿宋_GB2312" w:hAnsi="仿宋_GB2312" w:eastAsia="仿宋_GB2312" w:cs="仿宋_GB2312"/>
          <w:b w:val="0"/>
          <w:i w:val="0"/>
          <w:caps w:val="0"/>
          <w:color w:val="000000"/>
          <w:spacing w:val="0"/>
          <w:sz w:val="32"/>
          <w:szCs w:val="32"/>
          <w:u w:val="none"/>
        </w:rPr>
        <w:fldChar w:fldCharType="begin"/>
      </w:r>
      <w:r>
        <w:rPr>
          <w:rFonts w:hint="eastAsia" w:ascii="仿宋_GB2312" w:hAnsi="仿宋_GB2312" w:eastAsia="仿宋_GB2312" w:cs="仿宋_GB2312"/>
          <w:b w:val="0"/>
          <w:i w:val="0"/>
          <w:caps w:val="0"/>
          <w:color w:val="000000"/>
          <w:spacing w:val="0"/>
          <w:sz w:val="32"/>
          <w:szCs w:val="32"/>
          <w:u w:val="none"/>
        </w:rPr>
        <w:instrText xml:space="preserve"> HYPERLINK "https://www.miit.gov.cn/api-gateway/jpaas-web-server/front/document/file-download?fileUrl=/cms_files/filemanager/1226211233/attach/20214/b23dacebb0854b8e888dc70ff404cb74.pdf&amp;fileName=%E4%BA%AB%E5%8F%97%E4%BC%81%E4%B8%9A%E6%89%80%E5%BE%97%E7%A8%8E%E4%BC%98%E6%83%A0%E6%94%BF%E7%AD%96%E7%9A%84%E5%9B%BD%E5%AE%B6%E9%BC%93%E5%8A%B1%E7%9A%84%E9%9B%86%E6%88%90%E7%94%B5%E8%B7%AF%E8%AE%BE%E8%AE%A1%E3%80%81%E8%A3%85%E5%A4%87%E3%80%81%E6%9D%90%E6%96%99%E3%80%81%E5%B0%81%E8%A3%85%E3%80%81%E6%B5%8B%E8%AF%95%E4%BC%81%E4%B8%9A%E4%B8%BB%E8%A6%81%E7%95%99%E5%AD%98%E5%A4%87%E6%9F%A5%E8%B5%84%E6%96%99.pdf" </w:instrText>
      </w:r>
      <w:r>
        <w:rPr>
          <w:rFonts w:hint="eastAsia" w:ascii="仿宋_GB2312" w:hAnsi="仿宋_GB2312" w:eastAsia="仿宋_GB2312" w:cs="仿宋_GB2312"/>
          <w:b w:val="0"/>
          <w:i w:val="0"/>
          <w:caps w:val="0"/>
          <w:color w:val="000000"/>
          <w:spacing w:val="0"/>
          <w:sz w:val="32"/>
          <w:szCs w:val="32"/>
          <w:u w:val="none"/>
        </w:rPr>
        <w:fldChar w:fldCharType="separate"/>
      </w:r>
      <w:r>
        <w:rPr>
          <w:rStyle w:val="5"/>
          <w:rFonts w:hint="eastAsia" w:ascii="仿宋_GB2312" w:hAnsi="仿宋_GB2312" w:eastAsia="仿宋_GB2312" w:cs="仿宋_GB2312"/>
          <w:b w:val="0"/>
          <w:i w:val="0"/>
          <w:caps w:val="0"/>
          <w:color w:val="000000"/>
          <w:spacing w:val="0"/>
          <w:sz w:val="32"/>
          <w:szCs w:val="32"/>
          <w:u w:val="none"/>
        </w:rPr>
        <w:t>享受企业所得税优惠政策的国家鼓励的集成电路设计、装备、材料、封装、测试企业主要留存备查资料.pdf</w:t>
      </w:r>
      <w:r>
        <w:rPr>
          <w:rFonts w:hint="eastAsia" w:ascii="仿宋_GB2312" w:hAnsi="仿宋_GB2312" w:eastAsia="仿宋_GB2312" w:cs="仿宋_GB2312"/>
          <w:b w:val="0"/>
          <w:i w:val="0"/>
          <w:caps w:val="0"/>
          <w:color w:val="000000"/>
          <w:spacing w:val="0"/>
          <w:sz w:val="32"/>
          <w:szCs w:val="32"/>
          <w:u w:val="none"/>
        </w:rPr>
        <w:fldChar w:fldCharType="end"/>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righ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70707"/>
          <w:spacing w:val="0"/>
          <w:sz w:val="32"/>
          <w:szCs w:val="32"/>
        </w:rPr>
        <w:t>工业和信息化部 </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righ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70707"/>
          <w:spacing w:val="0"/>
          <w:sz w:val="32"/>
          <w:szCs w:val="32"/>
        </w:rPr>
        <w:t>国家发展改革委</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righ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70707"/>
          <w:spacing w:val="0"/>
          <w:sz w:val="32"/>
          <w:szCs w:val="32"/>
        </w:rPr>
        <w:t>财政部</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righ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70707"/>
          <w:spacing w:val="0"/>
          <w:sz w:val="32"/>
          <w:szCs w:val="32"/>
        </w:rPr>
        <w:t>国家税务总局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i w:val="0"/>
          <w:sz w:val="32"/>
          <w:szCs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560" w:lineRule="exact"/>
        <w:ind w:left="0" w:right="0" w:firstLine="420"/>
        <w:jc w:val="right"/>
        <w:textAlignment w:val="auto"/>
        <w:rPr>
          <w:rFonts w:hint="eastAsia" w:ascii="仿宋_GB2312" w:hAnsi="仿宋_GB2312" w:eastAsia="仿宋_GB2312" w:cs="仿宋_GB2312"/>
          <w:i w:val="0"/>
          <w:sz w:val="32"/>
          <w:szCs w:val="32"/>
        </w:rPr>
      </w:pPr>
      <w:r>
        <w:rPr>
          <w:rFonts w:hint="eastAsia" w:ascii="仿宋_GB2312" w:hAnsi="仿宋_GB2312" w:eastAsia="仿宋_GB2312" w:cs="仿宋_GB2312"/>
          <w:b w:val="0"/>
          <w:i w:val="0"/>
          <w:caps w:val="0"/>
          <w:color w:val="070707"/>
          <w:spacing w:val="0"/>
          <w:sz w:val="32"/>
          <w:szCs w:val="32"/>
        </w:rPr>
        <w:t>2021年4月22日</w:t>
      </w:r>
    </w:p>
    <w:p>
      <w:pPr>
        <w:keepNext w:val="0"/>
        <w:keepLines w:val="0"/>
        <w:pageBreakBefore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DejaVu Sans">
    <w:panose1 w:val="020B0603030804020204"/>
    <w:charset w:val="00"/>
    <w:family w:val="roman"/>
    <w:pitch w:val="default"/>
    <w:sig w:usb0="E7006EFF" w:usb1="D200FDFF" w:usb2="0A246029" w:usb3="0400200C" w:csb0="600001FF" w:csb1="DFFF0000"/>
  </w:font>
  <w:font w:name="方正书宋_GBK">
    <w:altName w:val="方正宋体S-超大字符集"/>
    <w:panose1 w:val="02000000000000000000"/>
    <w:charset w:val="86"/>
    <w:family w:val="auto"/>
    <w:pitch w:val="default"/>
    <w:sig w:usb0="00000001" w:usb1="08000000" w:usb2="00000000" w:usb3="00000000" w:csb0="00040000" w:csb1="00000000"/>
  </w:font>
  <w:font w:name="方正黑体_GBK">
    <w:altName w:val="思源黑体 CN"/>
    <w:panose1 w:val="02000000000000000000"/>
    <w:charset w:val="00"/>
    <w:family w:val="auto"/>
    <w:pitch w:val="default"/>
    <w:sig w:usb0="00000001" w:usb1="08000000" w:usb2="00000000" w:usb3="00000000" w:csb0="00040000" w:csb1="00000000"/>
  </w:font>
  <w:font w:name="Calibri">
    <w:altName w:val="DejaVu Sans"/>
    <w:panose1 w:val="020F0502020204030204"/>
    <w:charset w:val="00"/>
    <w:family w:val="swiss"/>
    <w:pitch w:val="default"/>
    <w:sig w:usb0="00000000" w:usb1="00000000" w:usb2="00000001" w:usb3="00000000" w:csb0="0000019F" w:csb1="00000000"/>
  </w:font>
  <w:font w:name="黑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思源黑体 CN">
    <w:panose1 w:val="020B0600000000000000"/>
    <w:charset w:val="86"/>
    <w:family w:val="auto"/>
    <w:pitch w:val="default"/>
    <w:sig w:usb0="20000003" w:usb1="2ADF3C10" w:usb2="00000016" w:usb3="00000000" w:csb0="6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FD3C19"/>
    <w:rsid w:val="3B9F6735"/>
    <w:rsid w:val="3EAB0813"/>
    <w:rsid w:val="6FFFEEF7"/>
    <w:rsid w:val="9EFF70CB"/>
    <w:rsid w:val="AB3B57D8"/>
    <w:rsid w:val="BF4EA8BB"/>
    <w:rsid w:val="DAF8408F"/>
    <w:rsid w:val="FDD9D2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8FAFD"/>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Office_10.1.0.7448_F1E327BC-269C-435d-A152-05C5408002CA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2014-10-31T12:08:00Z</dcterms:created>
  <dc:creator>Administrator</dc:creator>
  <cp:lastModifiedBy>Annie</cp:lastModifiedBy>
  <dcterms:modified xsi:type="dcterms:W3CDTF">2023-04-03T16:20:53Z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2052-10.1.0.7448</vt:lpwstr>
  </property>
</Properties>
</file>